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/>
        <w:rPr>
          <w:b/>
          <w:u w:val="single"/>
        </w:rPr>
      </w:pPr>
      <w:r>
        <w:t xml:space="preserve">                                          </w:t>
      </w:r>
      <w:r>
        <w:rPr>
          <w:b/>
          <w:u w:val="single"/>
        </w:rPr>
        <w:t>Опросный лист на изготовление рельсовой тележки</w:t>
      </w:r>
    </w:p>
    <w:p>
      <w:pPr>
        <w:spacing w:after="0"/>
        <w:rPr>
          <w:b/>
        </w:rPr>
      </w:pPr>
      <w:r>
        <w:rPr>
          <w:b/>
        </w:rPr>
        <w:t>Название компании: НПО «ЭЛСИБ» ПАО</w:t>
      </w:r>
    </w:p>
    <w:p>
      <w:pPr>
        <w:spacing w:after="0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678"/>
      </w:tblGrid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Параметры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Значения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 xml:space="preserve">Грузоподъемность, </w:t>
            </w:r>
            <w:proofErr w:type="spellStart"/>
            <w:r>
              <w:t>тн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10 т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Длина платформы, мм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4000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Ширина платформы, мм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2000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Высота платформы, мм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не более 800 мм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Скорость передвижения, м/мин.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20 м/мин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Размер колеи рельсовых путей по внутренней кромке головки рельса, мм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1520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Марка рельса (Р14; Р24; Р50…)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Длина рельсового пути, 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Высота головки рельса над уровнем пола, мм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0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Степень загрузки тележки (малая, средняя, высокая)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высокая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 w:line="240" w:lineRule="atLeast"/>
            </w:pPr>
            <w:r>
              <w:t xml:space="preserve">Тип привода </w:t>
            </w:r>
          </w:p>
          <w:p>
            <w:pPr>
              <w:tabs>
                <w:tab w:val="left" w:pos="1950"/>
              </w:tabs>
              <w:spacing w:after="0" w:line="240" w:lineRule="atLeast"/>
            </w:pPr>
            <w:r>
              <w:t>(мотор-редуктор, канатный, без привода)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 w:line="240" w:lineRule="atLeast"/>
              <w:jc w:val="center"/>
            </w:pPr>
            <w:r>
              <w:t>электромотор с редуктором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 w:line="240" w:lineRule="atLeast"/>
            </w:pPr>
            <w:r>
              <w:t xml:space="preserve">Тип подачи питания </w:t>
            </w:r>
          </w:p>
          <w:p>
            <w:pPr>
              <w:tabs>
                <w:tab w:val="left" w:pos="1950"/>
              </w:tabs>
              <w:spacing w:after="0" w:line="240" w:lineRule="atLeast"/>
            </w:pPr>
            <w:r>
              <w:t>(барабанный, троллейный, АКБ, кабель, гибкий кабельный канал)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 w:line="240" w:lineRule="atLeast"/>
              <w:jc w:val="center"/>
            </w:pPr>
            <w:r>
              <w:t>кабель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 xml:space="preserve">Тип троллейного </w:t>
            </w:r>
            <w:proofErr w:type="spellStart"/>
            <w:r>
              <w:t>шинопровода</w:t>
            </w:r>
            <w:proofErr w:type="spellEnd"/>
            <w:r>
              <w:t xml:space="preserve"> (закрытого, закрытого раздельного, открытого)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отсутствует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Управление (с переносного пульта на проводе, радиоуправление, со стационарного пульта)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стационарный пуск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Плавный пуск (да, нет)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да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Встроенный электрический тормоз (да, нет)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да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Рамка от наезда на препятствие (да, нет)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нет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Концевые выключатели (да, нет)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нет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Рабочая поверхность (платформа, рама, др. указать), толщина листа, мм?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платформа с резиновым покрытием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Сигнализация (звуковая, световая)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звуковая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Температура эксплуатации, град/С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+10…+40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Режим работы (ч/смену; км/смену)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2 ч.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Климатическое исполнение ГОСТ 15150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У3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Класс взрывоопасной зоны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Д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Группа взрывоопасной смеси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Категория взрывоопасной смеси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lastRenderedPageBreak/>
              <w:t>Количество, шт.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1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Способ отгрузки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верхняя разгрузка краном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rPr>
                <w:lang w:val="en-US"/>
              </w:rPr>
            </w:pPr>
            <w:r>
              <w:t xml:space="preserve">Покрытие/цвет, </w:t>
            </w:r>
            <w:r>
              <w:rPr>
                <w:lang w:val="en-US"/>
              </w:rPr>
              <w:t>RAL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  <w:r>
              <w:t>общепро</w:t>
            </w:r>
            <w:bookmarkStart w:id="0" w:name="_GoBack"/>
            <w:bookmarkEnd w:id="0"/>
            <w:r>
              <w:t>мышленное</w:t>
            </w:r>
          </w:p>
        </w:tc>
      </w:tr>
      <w:tr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</w:pPr>
            <w:r>
              <w:t>Дополнительная информация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tabs>
                <w:tab w:val="left" w:pos="1950"/>
              </w:tabs>
              <w:spacing w:after="0"/>
              <w:jc w:val="center"/>
            </w:pPr>
          </w:p>
        </w:tc>
      </w:tr>
    </w:tbl>
    <w:p>
      <w:pPr>
        <w:spacing w:after="0"/>
      </w:pPr>
    </w:p>
    <w:p>
      <w:pPr>
        <w:pStyle w:val="ae"/>
        <w:rPr>
          <w:rFonts w:ascii="Times New Roman" w:hAnsi="Times New Roman" w:cs="Times New Roman"/>
        </w:rPr>
      </w:pPr>
    </w:p>
    <w:p>
      <w:pPr>
        <w:pStyle w:val="ae"/>
        <w:rPr>
          <w:rFonts w:ascii="Times New Roman" w:hAnsi="Times New Roman" w:cs="Times New Roman"/>
        </w:rPr>
      </w:pPr>
    </w:p>
    <w:p>
      <w:pPr>
        <w:tabs>
          <w:tab w:val="right" w:pos="974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>
      <w:pPr>
        <w:spacing w:after="0" w:line="240" w:lineRule="auto"/>
        <w:rPr>
          <w:rFonts w:ascii="Times New Roman" w:hAnsi="Times New Roman"/>
          <w:color w:val="000000"/>
        </w:rPr>
      </w:pPr>
    </w:p>
    <w:sectPr>
      <w:headerReference w:type="default" r:id="rId7"/>
      <w:pgSz w:w="11906" w:h="16838"/>
      <w:pgMar w:top="851" w:right="1080" w:bottom="993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7968" w:type="dxa"/>
      <w:tblInd w:w="108" w:type="dxa"/>
      <w:tblLook w:val="0000" w:firstRow="0" w:lastRow="0" w:firstColumn="0" w:lastColumn="0" w:noHBand="0" w:noVBand="0"/>
    </w:tblPr>
    <w:tblGrid>
      <w:gridCol w:w="3381"/>
      <w:gridCol w:w="3370"/>
      <w:gridCol w:w="3739"/>
      <w:gridCol w:w="3739"/>
      <w:gridCol w:w="3739"/>
    </w:tblGrid>
    <w:tr>
      <w:tc>
        <w:tcPr>
          <w:tcW w:w="3381" w:type="dxa"/>
        </w:tcPr>
        <w:p>
          <w:pPr>
            <w:spacing w:after="0" w:line="240" w:lineRule="auto"/>
            <w:rPr>
              <w:rFonts w:ascii="Tahoma" w:hAnsi="Tahoma" w:cs="Tahoma"/>
              <w:sz w:val="16"/>
              <w:szCs w:val="16"/>
              <w:lang w:val="en-US"/>
            </w:rPr>
          </w:pPr>
          <w:r>
            <w:rPr>
              <w:lang w:val="en-US"/>
            </w:rPr>
            <w:softHyphen/>
          </w:r>
          <w:r>
            <w:rPr>
              <w:lang w:val="en-US"/>
            </w:rPr>
            <w:softHyphen/>
          </w:r>
          <w:r>
            <w:rPr>
              <w:lang w:val="en-US"/>
            </w:rPr>
            <w:softHyphen/>
          </w:r>
        </w:p>
      </w:tc>
      <w:tc>
        <w:tcPr>
          <w:tcW w:w="3370" w:type="dxa"/>
        </w:tcPr>
        <w:p>
          <w:pPr>
            <w:spacing w:after="0" w:line="240" w:lineRule="auto"/>
            <w:jc w:val="right"/>
            <w:rPr>
              <w:rFonts w:ascii="Tahoma" w:hAnsi="Tahoma" w:cs="Tahoma"/>
              <w:color w:val="595959"/>
              <w:sz w:val="16"/>
              <w:szCs w:val="16"/>
            </w:rPr>
          </w:pPr>
        </w:p>
      </w:tc>
      <w:tc>
        <w:tcPr>
          <w:tcW w:w="3739" w:type="dxa"/>
        </w:tcPr>
        <w:p>
          <w:pPr>
            <w:widowControl w:val="0"/>
            <w:autoSpaceDE w:val="0"/>
            <w:autoSpaceDN w:val="0"/>
            <w:spacing w:after="0" w:line="240" w:lineRule="auto"/>
            <w:ind w:left="647" w:right="18" w:hanging="627"/>
            <w:jc w:val="right"/>
            <w:rPr>
              <w:rFonts w:eastAsia="Times New Roman"/>
              <w:b/>
              <w:sz w:val="16"/>
            </w:rPr>
          </w:pPr>
        </w:p>
      </w:tc>
      <w:tc>
        <w:tcPr>
          <w:tcW w:w="3739" w:type="dxa"/>
        </w:tcPr>
        <w:p>
          <w:pPr>
            <w:widowControl w:val="0"/>
            <w:autoSpaceDE w:val="0"/>
            <w:autoSpaceDN w:val="0"/>
            <w:spacing w:after="0" w:line="240" w:lineRule="auto"/>
            <w:ind w:left="647" w:right="18" w:hanging="627"/>
            <w:jc w:val="right"/>
            <w:rPr>
              <w:rFonts w:eastAsia="Times New Roman"/>
              <w:b/>
              <w:sz w:val="16"/>
            </w:rPr>
          </w:pPr>
        </w:p>
      </w:tc>
      <w:tc>
        <w:tcPr>
          <w:tcW w:w="3739" w:type="dxa"/>
        </w:tcPr>
        <w:p>
          <w:pPr>
            <w:widowControl w:val="0"/>
            <w:autoSpaceDE w:val="0"/>
            <w:autoSpaceDN w:val="0"/>
            <w:spacing w:after="0" w:line="240" w:lineRule="auto"/>
            <w:ind w:left="647" w:right="18" w:hanging="627"/>
            <w:jc w:val="right"/>
            <w:rPr>
              <w:rFonts w:eastAsia="Times New Roman"/>
              <w:b/>
              <w:sz w:val="16"/>
            </w:rPr>
          </w:pPr>
          <w:r>
            <w:rPr>
              <w:rFonts w:eastAsia="Times New Roman"/>
              <w:b/>
              <w:sz w:val="16"/>
            </w:rPr>
            <w:t>129090, Москва, ВН. Тер. Г. Муниципальный</w:t>
          </w:r>
        </w:p>
        <w:p>
          <w:pPr>
            <w:widowControl w:val="0"/>
            <w:autoSpaceDE w:val="0"/>
            <w:autoSpaceDN w:val="0"/>
            <w:spacing w:after="0" w:line="240" w:lineRule="auto"/>
            <w:ind w:left="647" w:right="18" w:hanging="627"/>
            <w:jc w:val="right"/>
            <w:rPr>
              <w:rFonts w:eastAsia="Times New Roman"/>
              <w:b/>
              <w:sz w:val="16"/>
            </w:rPr>
          </w:pPr>
          <w:r>
            <w:rPr>
              <w:rFonts w:eastAsia="Times New Roman"/>
              <w:b/>
              <w:sz w:val="16"/>
            </w:rPr>
            <w:t>округ Мещанский, пер. 2-й Троицкий, дом 5,</w:t>
          </w:r>
        </w:p>
        <w:p>
          <w:pPr>
            <w:widowControl w:val="0"/>
            <w:autoSpaceDE w:val="0"/>
            <w:autoSpaceDN w:val="0"/>
            <w:spacing w:after="0" w:line="240" w:lineRule="auto"/>
            <w:ind w:left="647" w:right="18" w:hanging="627"/>
            <w:jc w:val="right"/>
            <w:rPr>
              <w:rFonts w:eastAsia="Times New Roman"/>
              <w:b/>
              <w:sz w:val="16"/>
            </w:rPr>
          </w:pPr>
          <w:r>
            <w:rPr>
              <w:rFonts w:eastAsia="Times New Roman"/>
              <w:b/>
              <w:sz w:val="16"/>
            </w:rPr>
            <w:t xml:space="preserve">пом. </w:t>
          </w:r>
          <w:r>
            <w:rPr>
              <w:rFonts w:eastAsia="Times New Roman"/>
              <w:b/>
              <w:sz w:val="16"/>
              <w:lang w:val="en-US"/>
            </w:rPr>
            <w:t>II</w:t>
          </w:r>
          <w:r>
            <w:rPr>
              <w:rFonts w:eastAsia="Times New Roman"/>
              <w:b/>
              <w:sz w:val="16"/>
            </w:rPr>
            <w:t>, ком. 2</w:t>
          </w:r>
        </w:p>
        <w:p>
          <w:pPr>
            <w:widowControl w:val="0"/>
            <w:autoSpaceDE w:val="0"/>
            <w:autoSpaceDN w:val="0"/>
            <w:spacing w:after="0" w:line="240" w:lineRule="auto"/>
            <w:ind w:left="647" w:right="18" w:hanging="627"/>
            <w:jc w:val="right"/>
            <w:rPr>
              <w:rFonts w:ascii="Tahoma" w:eastAsia="Times New Roman" w:hAnsi="Tahoma"/>
              <w:sz w:val="16"/>
            </w:rPr>
          </w:pPr>
          <w:proofErr w:type="spellStart"/>
          <w:r>
            <w:rPr>
              <w:rFonts w:ascii="Tahoma" w:eastAsia="Times New Roman" w:hAnsi="Tahoma"/>
              <w:color w:val="585858"/>
              <w:sz w:val="16"/>
            </w:rPr>
            <w:t>Web</w:t>
          </w:r>
          <w:proofErr w:type="spellEnd"/>
          <w:r>
            <w:rPr>
              <w:rFonts w:ascii="Tahoma" w:eastAsia="Times New Roman" w:hAnsi="Tahoma"/>
              <w:color w:val="585858"/>
              <w:sz w:val="16"/>
            </w:rPr>
            <w:t>:</w:t>
          </w:r>
          <w:r>
            <w:rPr>
              <w:rFonts w:ascii="Tahoma" w:eastAsia="Times New Roman" w:hAnsi="Tahoma"/>
              <w:color w:val="585858"/>
              <w:spacing w:val="-8"/>
              <w:sz w:val="16"/>
            </w:rPr>
            <w:t xml:space="preserve"> </w:t>
          </w:r>
          <w:hyperlink r:id="rId1" w:history="1">
            <w:r>
              <w:rPr>
                <w:rFonts w:ascii="Tahoma" w:eastAsia="Times New Roman" w:hAnsi="Tahoma"/>
                <w:color w:val="585858"/>
                <w:sz w:val="16"/>
                <w:u w:val="single"/>
              </w:rPr>
              <w:t>www.konveer.ru</w:t>
            </w:r>
          </w:hyperlink>
        </w:p>
        <w:p>
          <w:pPr>
            <w:spacing w:after="0" w:line="240" w:lineRule="auto"/>
            <w:jc w:val="right"/>
            <w:rPr>
              <w:rFonts w:ascii="Tahoma" w:hAnsi="Tahoma" w:cs="Tahoma"/>
              <w:color w:val="595959"/>
              <w:sz w:val="16"/>
              <w:szCs w:val="16"/>
              <w:lang w:val="en-US"/>
            </w:rPr>
          </w:pPr>
          <w:r>
            <w:rPr>
              <w:rFonts w:ascii="Tahoma" w:eastAsia="Times New Roman" w:hAnsi="Times New Roman"/>
              <w:color w:val="585858"/>
              <w:sz w:val="16"/>
            </w:rPr>
            <w:t xml:space="preserve">                      </w:t>
          </w:r>
          <w:proofErr w:type="spellStart"/>
          <w:r>
            <w:rPr>
              <w:rFonts w:ascii="Tahoma" w:eastAsia="Times New Roman" w:hAnsi="Times New Roman"/>
              <w:color w:val="585858"/>
              <w:sz w:val="16"/>
              <w:lang w:val="en-US"/>
            </w:rPr>
            <w:t>e-mai:l</w:t>
          </w:r>
          <w:proofErr w:type="spellEnd"/>
          <w:r>
            <w:rPr>
              <w:rFonts w:ascii="Tahoma" w:eastAsia="Times New Roman" w:hAnsi="Times New Roman"/>
              <w:color w:val="585858"/>
              <w:spacing w:val="-12"/>
              <w:sz w:val="16"/>
              <w:lang w:val="en-US"/>
            </w:rPr>
            <w:t xml:space="preserve"> </w:t>
          </w:r>
          <w:hyperlink r:id="rId2" w:history="1">
            <w:r>
              <w:rPr>
                <w:rFonts w:ascii="Tahoma" w:eastAsia="Times New Roman" w:hAnsi="Times New Roman"/>
                <w:color w:val="585858"/>
                <w:sz w:val="16"/>
                <w:u w:val="single"/>
                <w:lang w:val="en-US"/>
              </w:rPr>
              <w:t>info@konveer.ru</w:t>
            </w:r>
          </w:hyperlink>
        </w:p>
      </w:tc>
    </w:tr>
  </w:tbl>
  <w:p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-838200</wp:posOffset>
              </wp:positionH>
              <wp:positionV relativeFrom="paragraph">
                <wp:posOffset>107315</wp:posOffset>
              </wp:positionV>
              <wp:extent cx="640845175" cy="53975"/>
              <wp:effectExtent l="9525" t="12065" r="6350" b="10160"/>
              <wp:wrapTight wrapText="bothSides">
                <wp:wrapPolygon edited="0">
                  <wp:start x="0" y="-3558"/>
                  <wp:lineTo x="0" y="3558"/>
                  <wp:lineTo x="13499" y="18042"/>
                  <wp:lineTo x="17999" y="18042"/>
                  <wp:lineTo x="21600" y="18042"/>
                  <wp:lineTo x="21600" y="14485"/>
                  <wp:lineTo x="5143" y="0"/>
                  <wp:lineTo x="1" y="-3558"/>
                  <wp:lineTo x="0" y="-3558"/>
                </wp:wrapPolygon>
              </wp:wrapTight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845175" cy="539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66pt;margin-top:8.45pt;width:50460.25pt;height: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" strokecolor="#1f497d"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D50B8"/>
    <w:multiLevelType w:val="hybridMultilevel"/>
    <w:tmpl w:val="9EC431D0"/>
    <w:lvl w:ilvl="0" w:tplc="69624F90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27630A2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2" w:tplc="441C4444">
      <w:numFmt w:val="bullet"/>
      <w:lvlText w:val="•"/>
      <w:lvlJc w:val="left"/>
      <w:pPr>
        <w:ind w:left="2789" w:hanging="360"/>
      </w:pPr>
      <w:rPr>
        <w:rFonts w:hint="default"/>
        <w:lang w:val="ru-RU" w:eastAsia="en-US" w:bidi="ar-SA"/>
      </w:rPr>
    </w:lvl>
    <w:lvl w:ilvl="3" w:tplc="683E78A2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4BFA3950">
      <w:numFmt w:val="bullet"/>
      <w:lvlText w:val="•"/>
      <w:lvlJc w:val="left"/>
      <w:pPr>
        <w:ind w:left="4638" w:hanging="360"/>
      </w:pPr>
      <w:rPr>
        <w:rFonts w:hint="default"/>
        <w:lang w:val="ru-RU" w:eastAsia="en-US" w:bidi="ar-SA"/>
      </w:rPr>
    </w:lvl>
    <w:lvl w:ilvl="5" w:tplc="1CDC7452">
      <w:numFmt w:val="bullet"/>
      <w:lvlText w:val="•"/>
      <w:lvlJc w:val="left"/>
      <w:pPr>
        <w:ind w:left="5563" w:hanging="360"/>
      </w:pPr>
      <w:rPr>
        <w:rFonts w:hint="default"/>
        <w:lang w:val="ru-RU" w:eastAsia="en-US" w:bidi="ar-SA"/>
      </w:rPr>
    </w:lvl>
    <w:lvl w:ilvl="6" w:tplc="EB722B3C">
      <w:numFmt w:val="bullet"/>
      <w:lvlText w:val="•"/>
      <w:lvlJc w:val="left"/>
      <w:pPr>
        <w:ind w:left="6487" w:hanging="360"/>
      </w:pPr>
      <w:rPr>
        <w:rFonts w:hint="default"/>
        <w:lang w:val="ru-RU" w:eastAsia="en-US" w:bidi="ar-SA"/>
      </w:rPr>
    </w:lvl>
    <w:lvl w:ilvl="7" w:tplc="12467BF8">
      <w:numFmt w:val="bullet"/>
      <w:lvlText w:val="•"/>
      <w:lvlJc w:val="left"/>
      <w:pPr>
        <w:ind w:left="7412" w:hanging="360"/>
      </w:pPr>
      <w:rPr>
        <w:rFonts w:hint="default"/>
        <w:lang w:val="ru-RU" w:eastAsia="en-US" w:bidi="ar-SA"/>
      </w:rPr>
    </w:lvl>
    <w:lvl w:ilvl="8" w:tplc="56DEDCE0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6E13442"/>
    <w:multiLevelType w:val="hybridMultilevel"/>
    <w:tmpl w:val="7A3234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CC4713"/>
    <w:multiLevelType w:val="hybridMultilevel"/>
    <w:tmpl w:val="18B8B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E602F"/>
    <w:multiLevelType w:val="hybridMultilevel"/>
    <w:tmpl w:val="DD92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06BF4"/>
    <w:multiLevelType w:val="hybridMultilevel"/>
    <w:tmpl w:val="9026A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6D7B45"/>
    <w:multiLevelType w:val="hybridMultilevel"/>
    <w:tmpl w:val="C574707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BC17F13"/>
    <w:multiLevelType w:val="hybridMultilevel"/>
    <w:tmpl w:val="247E56E8"/>
    <w:lvl w:ilvl="0" w:tplc="1C2E66A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5B2DA2E9-B152-4780-89B9-1CFDDF33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/>
      <w:sz w:val="16"/>
    </w:rPr>
  </w:style>
  <w:style w:type="character" w:customStyle="1" w:styleId="1">
    <w:name w:val="Замещающий текст1"/>
    <w:uiPriority w:val="99"/>
    <w:semiHidden/>
    <w:rPr>
      <w:color w:val="808080"/>
    </w:rPr>
  </w:style>
  <w:style w:type="table" w:styleId="a5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lang w:eastAsia="ru-RU"/>
    </w:rPr>
  </w:style>
  <w:style w:type="character" w:customStyle="1" w:styleId="a7">
    <w:name w:val="Верхний колонтитул Знак"/>
    <w:link w:val="a6"/>
    <w:uiPriority w:val="99"/>
    <w:locked/>
    <w:rPr>
      <w:sz w:val="22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eastAsia="ru-RU"/>
    </w:rPr>
  </w:style>
  <w:style w:type="character" w:customStyle="1" w:styleId="a9">
    <w:name w:val="Нижний колонтитул Знак"/>
    <w:link w:val="a8"/>
    <w:uiPriority w:val="99"/>
    <w:locked/>
    <w:rPr>
      <w:sz w:val="22"/>
    </w:rPr>
  </w:style>
  <w:style w:type="character" w:styleId="aa">
    <w:name w:val="Hyperlink"/>
    <w:uiPriority w:val="99"/>
    <w:rPr>
      <w:rFonts w:cs="Times New Roman"/>
      <w:color w:val="0000FF"/>
      <w:u w:val="single"/>
    </w:rPr>
  </w:style>
  <w:style w:type="character" w:styleId="ab">
    <w:name w:val="FollowedHyperlink"/>
    <w:uiPriority w:val="99"/>
    <w:semiHidden/>
    <w:rPr>
      <w:rFonts w:cs="Times New Roman"/>
      <w:color w:val="800080"/>
      <w:u w:val="single"/>
    </w:rPr>
  </w:style>
  <w:style w:type="character" w:customStyle="1" w:styleId="val">
    <w:name w:val="val"/>
    <w:uiPriority w:val="99"/>
    <w:rPr>
      <w:rFonts w:cs="Times New Roman"/>
    </w:rPr>
  </w:style>
  <w:style w:type="paragraph" w:styleId="ac">
    <w:name w:val="Plain Text"/>
    <w:basedOn w:val="a"/>
    <w:link w:val="ad"/>
    <w:uiPriority w:val="9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locked/>
    <w:rPr>
      <w:rFonts w:ascii="Courier New" w:hAnsi="Courier New"/>
    </w:rPr>
  </w:style>
  <w:style w:type="character" w:customStyle="1" w:styleId="js-phone-number">
    <w:name w:val="js-phone-number"/>
    <w:uiPriority w:val="99"/>
    <w:rPr>
      <w:rFonts w:cs="Times New Roman"/>
    </w:rPr>
  </w:style>
  <w:style w:type="character" w:customStyle="1" w:styleId="contact-info-adresscompany-name">
    <w:name w:val="contact-info-adress__company-name"/>
    <w:uiPriority w:val="99"/>
    <w:rPr>
      <w:rFonts w:cs="Times New Roman"/>
    </w:rPr>
  </w:style>
  <w:style w:type="paragraph" w:styleId="ae">
    <w:name w:val="No Spacing"/>
    <w:link w:val="af"/>
    <w:uiPriority w:val="1"/>
    <w:qFormat/>
    <w:pPr>
      <w:suppressAutoHyphens/>
    </w:pPr>
    <w:rPr>
      <w:rFonts w:cs="Calibri"/>
      <w:sz w:val="22"/>
      <w:szCs w:val="22"/>
      <w:lang w:eastAsia="ar-SA"/>
    </w:rPr>
  </w:style>
  <w:style w:type="character" w:customStyle="1" w:styleId="af">
    <w:name w:val="Без интервала Знак"/>
    <w:link w:val="ae"/>
    <w:uiPriority w:val="1"/>
    <w:rPr>
      <w:rFonts w:cs="Calibri"/>
      <w:sz w:val="22"/>
      <w:szCs w:val="22"/>
      <w:lang w:val="ru-RU" w:eastAsia="ar-SA" w:bidi="ar-SA"/>
    </w:rPr>
  </w:style>
  <w:style w:type="paragraph" w:styleId="af0">
    <w:name w:val="List Paragraph"/>
    <w:basedOn w:val="a"/>
    <w:uiPriority w:val="34"/>
    <w:qFormat/>
    <w:pPr>
      <w:ind w:left="708"/>
    </w:p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/>
      <w:b/>
      <w:bCs/>
      <w:sz w:val="36"/>
      <w:szCs w:val="36"/>
    </w:rPr>
  </w:style>
  <w:style w:type="paragraph" w:styleId="af1">
    <w:name w:val="Body Text"/>
    <w:basedOn w:val="a"/>
    <w:link w:val="af2"/>
    <w:uiPriority w:val="99"/>
    <w:semiHidden/>
    <w:unhideWhenUsed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6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6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6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6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onveer.ru" TargetMode="External"/><Relationship Id="rId1" Type="http://schemas.openxmlformats.org/officeDocument/2006/relationships/hyperlink" Target="http://www.konvee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1361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Кому:</vt:lpstr>
    </vt:vector>
  </TitlesOfParts>
  <Company>Home Design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Кому:</dc:title>
  <dc:creator>Jane Safo</dc:creator>
  <cp:lastModifiedBy>Манакова Юлия Владимировна \ Iuliia Manakova</cp:lastModifiedBy>
  <cp:revision>2</cp:revision>
  <cp:lastPrinted>2021-10-07T09:27:00Z</cp:lastPrinted>
  <dcterms:created xsi:type="dcterms:W3CDTF">2024-08-01T05:59:00Z</dcterms:created>
  <dcterms:modified xsi:type="dcterms:W3CDTF">2024-08-01T05:59:00Z</dcterms:modified>
</cp:coreProperties>
</file>